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92D" w:rsidRDefault="00BC4C41" w:rsidP="0057286C">
      <w:pPr>
        <w:pStyle w:val="Yltunniste"/>
        <w:tabs>
          <w:tab w:val="clear" w:pos="4819"/>
          <w:tab w:val="clear" w:pos="9638"/>
        </w:tabs>
        <w:ind w:left="3912"/>
        <w:rPr>
          <w:bCs/>
        </w:rPr>
      </w:pPr>
      <w:bookmarkStart w:id="0" w:name="_GoBack"/>
      <w:bookmarkEnd w:id="0"/>
      <w:r w:rsidRPr="00A13767">
        <w:rPr>
          <w:b/>
          <w:bCs/>
          <w:lang w:val="sv-SE"/>
        </w:rPr>
        <w:t>Ekonomiutskottets betänkande 7/2015 om ombudsinitiativ 7/2015</w:t>
      </w:r>
    </w:p>
    <w:p w:rsidR="00A93FA6" w:rsidRDefault="00A93FA6" w:rsidP="00A93FA6">
      <w:pPr>
        <w:pStyle w:val="Yltunniste"/>
        <w:tabs>
          <w:tab w:val="clear" w:pos="4819"/>
          <w:tab w:val="clear" w:pos="9638"/>
        </w:tabs>
        <w:ind w:left="3912"/>
        <w:rPr>
          <w:b/>
          <w:bCs/>
        </w:rPr>
      </w:pPr>
    </w:p>
    <w:p w:rsidR="00A93FA6" w:rsidRDefault="0091496B" w:rsidP="00A93FA6">
      <w:pPr>
        <w:pStyle w:val="Yltunniste"/>
        <w:tabs>
          <w:tab w:val="clear" w:pos="4819"/>
          <w:tab w:val="clear" w:pos="9638"/>
        </w:tabs>
        <w:ind w:left="3912"/>
        <w:rPr>
          <w:b/>
          <w:bCs/>
        </w:rPr>
      </w:pPr>
      <w:r w:rsidRPr="00A13767">
        <w:rPr>
          <w:b/>
          <w:bCs/>
          <w:lang w:val="sv-SE"/>
        </w:rPr>
        <w:t>Nytt under</w:t>
      </w:r>
      <w:r w:rsidR="002A1165" w:rsidRPr="00A13767">
        <w:rPr>
          <w:b/>
          <w:bCs/>
          <w:lang w:val="sv-SE"/>
        </w:rPr>
        <w:t>stöds</w:t>
      </w:r>
      <w:r w:rsidRPr="00A13767">
        <w:rPr>
          <w:b/>
          <w:bCs/>
          <w:lang w:val="sv-SE"/>
        </w:rPr>
        <w:t>s</w:t>
      </w:r>
      <w:r w:rsidR="002A1165" w:rsidRPr="00A13767">
        <w:rPr>
          <w:b/>
          <w:bCs/>
          <w:lang w:val="sv-SE"/>
        </w:rPr>
        <w:t>ystem</w:t>
      </w:r>
      <w:r w:rsidRPr="00A13767">
        <w:rPr>
          <w:b/>
          <w:bCs/>
          <w:lang w:val="sv-SE"/>
        </w:rPr>
        <w:t xml:space="preserve"> för församlingarna</w:t>
      </w:r>
    </w:p>
    <w:p w:rsidR="0057286C" w:rsidRDefault="0057286C" w:rsidP="00A93FA6">
      <w:pPr>
        <w:pStyle w:val="Yltunniste"/>
        <w:tabs>
          <w:tab w:val="clear" w:pos="4819"/>
          <w:tab w:val="clear" w:pos="9638"/>
        </w:tabs>
        <w:ind w:left="3912"/>
        <w:rPr>
          <w:b/>
          <w:bCs/>
        </w:rPr>
      </w:pPr>
    </w:p>
    <w:p w:rsidR="00EC378D" w:rsidRPr="00A93FA6" w:rsidRDefault="0091496B" w:rsidP="00A93FA6">
      <w:pPr>
        <w:pStyle w:val="Yltunniste"/>
        <w:tabs>
          <w:tab w:val="clear" w:pos="4819"/>
          <w:tab w:val="clear" w:pos="9638"/>
        </w:tabs>
        <w:ind w:left="3912"/>
        <w:jc w:val="right"/>
        <w:rPr>
          <w:bCs/>
        </w:rPr>
      </w:pPr>
      <w:r w:rsidRPr="00A13767">
        <w:rPr>
          <w:bCs/>
          <w:lang w:val="sv-SE"/>
        </w:rPr>
        <w:t>Ärende nr 2012</w:t>
      </w:r>
      <w:r w:rsidR="002A1165" w:rsidRPr="00A13767">
        <w:rPr>
          <w:bCs/>
          <w:lang w:val="sv-SE"/>
        </w:rPr>
        <w:t>-00195</w:t>
      </w:r>
    </w:p>
    <w:p w:rsidR="00E73C5B" w:rsidRDefault="00E73C5B"/>
    <w:p w:rsidR="0057286C" w:rsidRDefault="0057286C"/>
    <w:p w:rsidR="00D0415F" w:rsidRDefault="00D0415F"/>
    <w:p w:rsidR="00E73C5B" w:rsidRDefault="00E73C5B"/>
    <w:p w:rsidR="0007057A" w:rsidRDefault="002A1165" w:rsidP="00116B94">
      <w:pPr>
        <w:ind w:left="1304"/>
      </w:pPr>
      <w:r w:rsidRPr="00A13767">
        <w:rPr>
          <w:lang w:val="sv-SE"/>
        </w:rPr>
        <w:t>Kyrkomötet har i plenum den 3 november 2015 remitterat ärendet till ekonomiutskottet för beredning.</w:t>
      </w:r>
    </w:p>
    <w:p w:rsidR="0007057A" w:rsidRDefault="0007057A" w:rsidP="00116B94">
      <w:pPr>
        <w:ind w:left="1304"/>
      </w:pPr>
    </w:p>
    <w:p w:rsidR="00634777" w:rsidRDefault="002A1165" w:rsidP="00150878">
      <w:pPr>
        <w:tabs>
          <w:tab w:val="right" w:pos="9298"/>
        </w:tabs>
        <w:ind w:left="1304"/>
      </w:pPr>
      <w:r w:rsidRPr="00A13767">
        <w:rPr>
          <w:lang w:val="sv-SE"/>
        </w:rPr>
        <w:t>Utskot</w:t>
      </w:r>
      <w:r w:rsidR="0091496B" w:rsidRPr="00A13767">
        <w:rPr>
          <w:lang w:val="sv-SE"/>
        </w:rPr>
        <w:t xml:space="preserve">tet har </w:t>
      </w:r>
      <w:r w:rsidRPr="00A13767">
        <w:rPr>
          <w:lang w:val="sv-SE"/>
        </w:rPr>
        <w:t>hört ecklesiastikrådet Leena Rantanen som sakkunnig.</w:t>
      </w:r>
      <w:r w:rsidR="00150878">
        <w:tab/>
      </w:r>
    </w:p>
    <w:p w:rsidR="00E10C0F" w:rsidRDefault="00E10C0F" w:rsidP="00116B94">
      <w:pPr>
        <w:ind w:left="1304"/>
      </w:pPr>
    </w:p>
    <w:p w:rsidR="009B5868" w:rsidRDefault="009B5868" w:rsidP="00116B94">
      <w:pPr>
        <w:ind w:left="1304"/>
      </w:pPr>
    </w:p>
    <w:p w:rsidR="002A1577" w:rsidRDefault="002A1577" w:rsidP="00116B94">
      <w:pPr>
        <w:ind w:left="1304"/>
      </w:pPr>
    </w:p>
    <w:p w:rsidR="002A1577" w:rsidRPr="002A1577" w:rsidRDefault="002A1165" w:rsidP="00116B94">
      <w:pPr>
        <w:ind w:left="1304"/>
        <w:rPr>
          <w:b/>
        </w:rPr>
      </w:pPr>
      <w:r w:rsidRPr="00A13767">
        <w:rPr>
          <w:b/>
          <w:lang w:val="sv-SE"/>
        </w:rPr>
        <w:t>Initiativets huvudsakliga innehåll</w:t>
      </w:r>
    </w:p>
    <w:p w:rsidR="002A1577" w:rsidRDefault="002A1577" w:rsidP="00116B94">
      <w:pPr>
        <w:ind w:left="1304"/>
      </w:pPr>
    </w:p>
    <w:p w:rsidR="00365E44" w:rsidRDefault="002A1165" w:rsidP="00116B94">
      <w:pPr>
        <w:ind w:left="1304"/>
      </w:pPr>
      <w:r w:rsidRPr="00A13767">
        <w:rPr>
          <w:lang w:val="sv-SE"/>
        </w:rPr>
        <w:t xml:space="preserve">I initiativet föreslås att en omsorgsfull omvärdering ska göras av det ekonomiska </w:t>
      </w:r>
      <w:r w:rsidR="0091496B" w:rsidRPr="00A13767">
        <w:rPr>
          <w:lang w:val="sv-SE"/>
        </w:rPr>
        <w:t>under</w:t>
      </w:r>
      <w:r w:rsidRPr="00A13767">
        <w:rPr>
          <w:lang w:val="sv-SE"/>
        </w:rPr>
        <w:t>stöd som församlingarna får</w:t>
      </w:r>
      <w:r w:rsidR="001A5270" w:rsidRPr="00A13767">
        <w:rPr>
          <w:lang w:val="sv-SE"/>
        </w:rPr>
        <w:t>,</w:t>
      </w:r>
      <w:r w:rsidRPr="00A13767">
        <w:rPr>
          <w:lang w:val="sv-SE"/>
        </w:rPr>
        <w:t xml:space="preserve"> och att hela </w:t>
      </w:r>
      <w:r w:rsidR="0091496B" w:rsidRPr="00A13767">
        <w:rPr>
          <w:lang w:val="sv-SE"/>
        </w:rPr>
        <w:t>under</w:t>
      </w:r>
      <w:r w:rsidRPr="00A13767">
        <w:rPr>
          <w:lang w:val="sv-SE"/>
        </w:rPr>
        <w:t>stöd</w:t>
      </w:r>
      <w:r w:rsidR="0091496B" w:rsidRPr="00A13767">
        <w:rPr>
          <w:lang w:val="sv-SE"/>
        </w:rPr>
        <w:t>s</w:t>
      </w:r>
      <w:r w:rsidRPr="00A13767">
        <w:rPr>
          <w:lang w:val="sv-SE"/>
        </w:rPr>
        <w:t xml:space="preserve">systemet </w:t>
      </w:r>
      <w:r w:rsidR="0091496B" w:rsidRPr="00A13767">
        <w:rPr>
          <w:lang w:val="sv-SE"/>
        </w:rPr>
        <w:t xml:space="preserve">ska </w:t>
      </w:r>
      <w:r w:rsidRPr="00A13767">
        <w:rPr>
          <w:lang w:val="sv-SE"/>
        </w:rPr>
        <w:t>revideras.</w:t>
      </w:r>
      <w:r w:rsidR="0063795D">
        <w:t xml:space="preserve"> </w:t>
      </w:r>
      <w:r w:rsidRPr="00A13767">
        <w:rPr>
          <w:lang w:val="sv-SE"/>
        </w:rPr>
        <w:t xml:space="preserve">Varje församling som får </w:t>
      </w:r>
      <w:r w:rsidR="0091496B" w:rsidRPr="00A13767">
        <w:rPr>
          <w:lang w:val="sv-SE"/>
        </w:rPr>
        <w:t>under</w:t>
      </w:r>
      <w:r w:rsidRPr="00A13767">
        <w:rPr>
          <w:lang w:val="sv-SE"/>
        </w:rPr>
        <w:t xml:space="preserve">stöd ska kunna påvisa att församlingens förvaltning fungerar och är </w:t>
      </w:r>
      <w:r w:rsidRPr="00A13767">
        <w:rPr>
          <w:lang w:val="sv-SE"/>
        </w:rPr>
        <w:lastRenderedPageBreak/>
        <w:t>ekonomisk och bärkraftig.</w:t>
      </w:r>
      <w:r w:rsidR="00365E44">
        <w:t xml:space="preserve"> </w:t>
      </w:r>
      <w:r w:rsidRPr="00A13767">
        <w:rPr>
          <w:lang w:val="sv-SE"/>
        </w:rPr>
        <w:t xml:space="preserve">Om församlingen är ovillig till samarbete ska det vara en grund för att begränsa </w:t>
      </w:r>
      <w:r w:rsidR="0091496B" w:rsidRPr="00A13767">
        <w:rPr>
          <w:lang w:val="sv-SE"/>
        </w:rPr>
        <w:t>under</w:t>
      </w:r>
      <w:r w:rsidRPr="00A13767">
        <w:rPr>
          <w:lang w:val="sv-SE"/>
        </w:rPr>
        <w:t>stödet.</w:t>
      </w:r>
      <w:r w:rsidR="00365E44">
        <w:t xml:space="preserve">  </w:t>
      </w:r>
    </w:p>
    <w:p w:rsidR="0049237B" w:rsidRDefault="0049237B" w:rsidP="00116B94">
      <w:pPr>
        <w:ind w:left="1304"/>
      </w:pPr>
    </w:p>
    <w:p w:rsidR="003C0721" w:rsidRPr="003C0721" w:rsidRDefault="002A1165" w:rsidP="00116B94">
      <w:pPr>
        <w:ind w:left="1304"/>
        <w:rPr>
          <w:b/>
        </w:rPr>
      </w:pPr>
      <w:r w:rsidRPr="00A13767">
        <w:rPr>
          <w:b/>
          <w:lang w:val="sv-SE"/>
        </w:rPr>
        <w:t>Motivering till initiativet</w:t>
      </w:r>
    </w:p>
    <w:p w:rsidR="003C0721" w:rsidRDefault="003C0721" w:rsidP="00116B94">
      <w:pPr>
        <w:ind w:left="1304"/>
      </w:pPr>
    </w:p>
    <w:p w:rsidR="00C63881" w:rsidRDefault="002A1165" w:rsidP="00116B94">
      <w:pPr>
        <w:ind w:left="1304"/>
      </w:pPr>
      <w:r w:rsidRPr="00A13767">
        <w:rPr>
          <w:lang w:val="sv-SE"/>
        </w:rPr>
        <w:t xml:space="preserve">En kvalificerad majoritet på kyrkomötet förkastade 7.5.2015 lagutskottets framställning om </w:t>
      </w:r>
      <w:r w:rsidR="00C1697D" w:rsidRPr="00A13767">
        <w:rPr>
          <w:lang w:val="sv-SE"/>
        </w:rPr>
        <w:t>ändring av bestämmelserna om kyrkans lokala strukturer.</w:t>
      </w:r>
      <w:r w:rsidR="00C63881">
        <w:t xml:space="preserve"> </w:t>
      </w:r>
      <w:r w:rsidR="00C1697D" w:rsidRPr="00A13767">
        <w:rPr>
          <w:lang w:val="sv-SE"/>
        </w:rPr>
        <w:t xml:space="preserve">Målet för lagförslaget var bland annat att främja en ansvarsfull ekonomiförvaltning och </w:t>
      </w:r>
      <w:r w:rsidR="001A5270" w:rsidRPr="00A13767">
        <w:rPr>
          <w:lang w:val="sv-SE"/>
        </w:rPr>
        <w:t xml:space="preserve">i </w:t>
      </w:r>
      <w:r w:rsidR="00C1697D" w:rsidRPr="00A13767">
        <w:rPr>
          <w:lang w:val="sv-SE"/>
        </w:rPr>
        <w:t>förslaget framhöll</w:t>
      </w:r>
      <w:r w:rsidR="001A5270" w:rsidRPr="00A13767">
        <w:rPr>
          <w:lang w:val="sv-SE"/>
        </w:rPr>
        <w:t>s</w:t>
      </w:r>
      <w:r w:rsidR="00C1697D" w:rsidRPr="00A13767">
        <w:rPr>
          <w:lang w:val="sv-SE"/>
        </w:rPr>
        <w:t xml:space="preserve"> de ekonomiska församlingsenheternas ansvar för att ordna sin egen ekonomi.</w:t>
      </w:r>
      <w:r w:rsidR="00C63881">
        <w:t xml:space="preserve">  </w:t>
      </w:r>
    </w:p>
    <w:p w:rsidR="00C63881" w:rsidRDefault="00C63881" w:rsidP="00116B94">
      <w:pPr>
        <w:ind w:left="1304"/>
      </w:pPr>
    </w:p>
    <w:p w:rsidR="00C63881" w:rsidRDefault="00C1697D" w:rsidP="00116B94">
      <w:pPr>
        <w:ind w:left="1304"/>
      </w:pPr>
      <w:r w:rsidRPr="00A13767">
        <w:rPr>
          <w:lang w:val="sv-SE"/>
        </w:rPr>
        <w:t>Lagutskottet ansåg i sitt betänkande att ekonomisk bärkraft är ett viktigt mål och konstaterade att ekonomin utgör grunden för församlingarnas verksamhet.</w:t>
      </w:r>
      <w:r w:rsidR="00C63881">
        <w:t xml:space="preserve"> </w:t>
      </w:r>
      <w:r w:rsidRPr="00A13767">
        <w:rPr>
          <w:lang w:val="sv-SE"/>
        </w:rPr>
        <w:t>En ekonomiskt självbärande ekonomi ansågs dock inte överallt i landet vara ett realistiskt mål och lagutskottet konstaterade därför att nå</w:t>
      </w:r>
      <w:r w:rsidR="001A5270" w:rsidRPr="00A13767">
        <w:rPr>
          <w:lang w:val="sv-SE"/>
        </w:rPr>
        <w:t>gon typ av</w:t>
      </w:r>
      <w:r w:rsidRPr="00A13767">
        <w:rPr>
          <w:lang w:val="sv-SE"/>
        </w:rPr>
        <w:t xml:space="preserve"> </w:t>
      </w:r>
      <w:r w:rsidR="0091496B" w:rsidRPr="00A13767">
        <w:rPr>
          <w:lang w:val="sv-SE"/>
        </w:rPr>
        <w:t>under</w:t>
      </w:r>
      <w:r w:rsidRPr="00A13767">
        <w:rPr>
          <w:lang w:val="sv-SE"/>
        </w:rPr>
        <w:t>stöd</w:t>
      </w:r>
      <w:r w:rsidR="0091496B" w:rsidRPr="00A13767">
        <w:rPr>
          <w:lang w:val="sv-SE"/>
        </w:rPr>
        <w:t>s</w:t>
      </w:r>
      <w:r w:rsidRPr="00A13767">
        <w:rPr>
          <w:lang w:val="sv-SE"/>
        </w:rPr>
        <w:t>system behövs också i fortsättningen.</w:t>
      </w:r>
    </w:p>
    <w:p w:rsidR="00A13767" w:rsidRDefault="00A13767" w:rsidP="00116B94">
      <w:pPr>
        <w:ind w:left="1304"/>
        <w:rPr>
          <w:lang w:val="sv-SE"/>
        </w:rPr>
      </w:pPr>
    </w:p>
    <w:p w:rsidR="00C63881" w:rsidRDefault="00C1697D" w:rsidP="00116B94">
      <w:pPr>
        <w:ind w:left="1304"/>
      </w:pPr>
      <w:r w:rsidRPr="00A13767">
        <w:rPr>
          <w:lang w:val="sv-SE"/>
        </w:rPr>
        <w:t xml:space="preserve">Kyrkans totalekonomiska situation har försvagats i och med att medlemsantalet minskat </w:t>
      </w:r>
      <w:r w:rsidR="0091496B" w:rsidRPr="00A13767">
        <w:rPr>
          <w:lang w:val="sv-SE"/>
        </w:rPr>
        <w:t xml:space="preserve">särskilt </w:t>
      </w:r>
      <w:r w:rsidRPr="00A13767">
        <w:rPr>
          <w:lang w:val="sv-SE"/>
        </w:rPr>
        <w:t xml:space="preserve">i de stora städerna och i huvudstadsregionen, </w:t>
      </w:r>
      <w:r w:rsidR="0091496B" w:rsidRPr="00A13767">
        <w:rPr>
          <w:lang w:val="sv-SE"/>
        </w:rPr>
        <w:t>där</w:t>
      </w:r>
      <w:r w:rsidRPr="00A13767">
        <w:rPr>
          <w:lang w:val="sv-SE"/>
        </w:rPr>
        <w:t xml:space="preserve"> en avgörande </w:t>
      </w:r>
      <w:r w:rsidRPr="00A13767">
        <w:rPr>
          <w:lang w:val="sv-SE"/>
        </w:rPr>
        <w:lastRenderedPageBreak/>
        <w:t xml:space="preserve">del av kyrkans medlemsavgifter samlas in som utjämningsmedel/understöd till centralförvaltningen </w:t>
      </w:r>
      <w:r w:rsidR="001A5270" w:rsidRPr="00A13767">
        <w:rPr>
          <w:lang w:val="sv-SE"/>
        </w:rPr>
        <w:t>för</w:t>
      </w:r>
      <w:r w:rsidRPr="00A13767">
        <w:rPr>
          <w:lang w:val="sv-SE"/>
        </w:rPr>
        <w:t xml:space="preserve"> det övriga Finland.</w:t>
      </w:r>
      <w:r w:rsidR="00C63881">
        <w:t xml:space="preserve"> </w:t>
      </w:r>
      <w:r w:rsidRPr="00A13767">
        <w:rPr>
          <w:lang w:val="sv-SE"/>
        </w:rPr>
        <w:t>Ändringen i fördelningsgrunden i samband med samfundsskattereformen minskar inkomsterna i de kyrkliga samfälligheterna i huvudstadsregionen och minskar sålunda också deras möjligheter att hjälpa andra.</w:t>
      </w:r>
    </w:p>
    <w:p w:rsidR="009B5868" w:rsidRDefault="009B5868" w:rsidP="00116B94">
      <w:pPr>
        <w:ind w:left="1304"/>
      </w:pPr>
    </w:p>
    <w:p w:rsidR="009B5868" w:rsidRDefault="00C1697D" w:rsidP="00116B94">
      <w:pPr>
        <w:ind w:left="1304"/>
      </w:pPr>
      <w:r w:rsidRPr="00A13767">
        <w:rPr>
          <w:lang w:val="sv-SE"/>
        </w:rPr>
        <w:t xml:space="preserve">Eftersom lagförslaget förkastades måste Kyrkostyrelsen snabbt vidta åtgärder för att förnya </w:t>
      </w:r>
      <w:r w:rsidR="0091496B" w:rsidRPr="00A13767">
        <w:rPr>
          <w:lang w:val="sv-SE"/>
        </w:rPr>
        <w:t>understöds</w:t>
      </w:r>
      <w:r w:rsidRPr="00A13767">
        <w:rPr>
          <w:lang w:val="sv-SE"/>
        </w:rPr>
        <w:t xml:space="preserve">systemet </w:t>
      </w:r>
      <w:r w:rsidR="0091496B" w:rsidRPr="00A13767">
        <w:rPr>
          <w:lang w:val="sv-SE"/>
        </w:rPr>
        <w:t>för</w:t>
      </w:r>
      <w:r w:rsidRPr="00A13767">
        <w:rPr>
          <w:lang w:val="sv-SE"/>
        </w:rPr>
        <w:t xml:space="preserve"> församlingarna.</w:t>
      </w:r>
      <w:r w:rsidR="009B5868">
        <w:t xml:space="preserve"> </w:t>
      </w:r>
    </w:p>
    <w:p w:rsidR="009B5868" w:rsidRDefault="009B5868" w:rsidP="00116B94">
      <w:pPr>
        <w:ind w:left="1304"/>
        <w:rPr>
          <w:b/>
        </w:rPr>
      </w:pPr>
    </w:p>
    <w:p w:rsidR="00106FA2" w:rsidRDefault="00C1697D" w:rsidP="00116B94">
      <w:pPr>
        <w:ind w:left="1304"/>
      </w:pPr>
      <w:r w:rsidRPr="00A13767">
        <w:rPr>
          <w:b/>
          <w:lang w:val="sv-SE"/>
        </w:rPr>
        <w:t>Ekonomiutskottets ståndpunkt</w:t>
      </w:r>
    </w:p>
    <w:p w:rsidR="00106FA2" w:rsidRDefault="00106FA2" w:rsidP="00116B94">
      <w:pPr>
        <w:ind w:left="1304"/>
      </w:pPr>
    </w:p>
    <w:p w:rsidR="002A4B5F" w:rsidRDefault="00C1697D" w:rsidP="00116B94">
      <w:pPr>
        <w:ind w:left="1304"/>
      </w:pPr>
      <w:r w:rsidRPr="00A13767">
        <w:rPr>
          <w:lang w:val="sv-SE"/>
        </w:rPr>
        <w:t>Eurobeloppet för de understöd som Kyrkans centralfond betalat till församlingarna har minskat betydligt under de senaste åren.</w:t>
      </w:r>
      <w:r w:rsidR="002A4B5F">
        <w:t xml:space="preserve"> </w:t>
      </w:r>
      <w:r w:rsidRPr="00A13767">
        <w:rPr>
          <w:lang w:val="sv-SE"/>
        </w:rPr>
        <w:t>Ännu år 2002 var beloppet 17,5 miljoner euro men det minskade under åren 2003–2006 till cirka 12 miljoner euro per år.</w:t>
      </w:r>
      <w:r w:rsidR="002A4B5F">
        <w:t xml:space="preserve"> </w:t>
      </w:r>
      <w:r w:rsidRPr="00A13767">
        <w:rPr>
          <w:lang w:val="sv-SE"/>
        </w:rPr>
        <w:t>Från år 2007 till år 2015 sjönk beloppet till hälften, dvs. till cirka 6 miljoner euro.</w:t>
      </w:r>
      <w:r w:rsidR="0063795D">
        <w:t xml:space="preserve"> </w:t>
      </w:r>
      <w:r w:rsidRPr="00A13767">
        <w:rPr>
          <w:lang w:val="sv-SE"/>
        </w:rPr>
        <w:t xml:space="preserve">Under åren 2016–2018 föreslås det totala </w:t>
      </w:r>
      <w:r w:rsidR="009B198C" w:rsidRPr="00A13767">
        <w:rPr>
          <w:lang w:val="sv-SE"/>
        </w:rPr>
        <w:t>under</w:t>
      </w:r>
      <w:r w:rsidRPr="00A13767">
        <w:rPr>
          <w:lang w:val="sv-SE"/>
        </w:rPr>
        <w:t>stöd</w:t>
      </w:r>
      <w:r w:rsidR="009B198C" w:rsidRPr="00A13767">
        <w:rPr>
          <w:lang w:val="sv-SE"/>
        </w:rPr>
        <w:t>s</w:t>
      </w:r>
      <w:r w:rsidRPr="00A13767">
        <w:rPr>
          <w:lang w:val="sv-SE"/>
        </w:rPr>
        <w:t>beloppet vara cirka 3 miljoner euro per år.</w:t>
      </w:r>
      <w:r w:rsidR="00104048">
        <w:t xml:space="preserve"> </w:t>
      </w:r>
      <w:r w:rsidRPr="00A13767">
        <w:rPr>
          <w:lang w:val="sv-SE"/>
        </w:rPr>
        <w:t>I budgeten för år 2016 är understödens andel av den centralfondsavgift som församlingarna betalar under 6 procent.</w:t>
      </w:r>
      <w:r w:rsidR="008505DE">
        <w:t xml:space="preserve"> </w:t>
      </w:r>
      <w:r w:rsidRPr="00A13767">
        <w:rPr>
          <w:lang w:val="sv-SE"/>
        </w:rPr>
        <w:t xml:space="preserve">Det nya fördelningssystemet </w:t>
      </w:r>
      <w:r w:rsidRPr="00A13767">
        <w:rPr>
          <w:lang w:val="sv-SE"/>
        </w:rPr>
        <w:lastRenderedPageBreak/>
        <w:t>för statsersättningar som tas i bruk år 2016 gör det möjligt att minska understöden till ovan nämnda nivå.</w:t>
      </w:r>
    </w:p>
    <w:p w:rsidR="002A4B5F" w:rsidRDefault="002A4B5F" w:rsidP="00116B94">
      <w:pPr>
        <w:ind w:left="1304"/>
      </w:pPr>
    </w:p>
    <w:p w:rsidR="002A4B5F" w:rsidRDefault="00C1697D" w:rsidP="00116B94">
      <w:pPr>
        <w:ind w:left="1304"/>
      </w:pPr>
      <w:r w:rsidRPr="00A13767">
        <w:rPr>
          <w:lang w:val="sv-SE"/>
        </w:rPr>
        <w:t>Kyrkans centralfonds understödssystem har i praktiken ständigt förändrats.</w:t>
      </w:r>
      <w:r w:rsidR="002A4B5F">
        <w:t xml:space="preserve"> </w:t>
      </w:r>
      <w:r w:rsidR="009B198C" w:rsidRPr="00A13767">
        <w:rPr>
          <w:lang w:val="sv-SE"/>
        </w:rPr>
        <w:t>I början av 2000-talet togs utöver de traditionella understöden sammanslagnings</w:t>
      </w:r>
      <w:r w:rsidR="001A5270" w:rsidRPr="00A13767">
        <w:rPr>
          <w:lang w:val="sv-SE"/>
        </w:rPr>
        <w:t>-</w:t>
      </w:r>
      <w:r w:rsidR="009B198C" w:rsidRPr="00A13767">
        <w:rPr>
          <w:lang w:val="sv-SE"/>
        </w:rPr>
        <w:t xml:space="preserve"> och samarbetsunderstöd</w:t>
      </w:r>
      <w:r w:rsidR="001A5270" w:rsidRPr="00A13767">
        <w:rPr>
          <w:lang w:val="sv-SE"/>
        </w:rPr>
        <w:t>en</w:t>
      </w:r>
      <w:r w:rsidR="009B198C" w:rsidRPr="00A13767">
        <w:rPr>
          <w:lang w:val="sv-SE"/>
        </w:rPr>
        <w:t xml:space="preserve"> i bruk, vilkas andel av understödssumman var högst ungefär hälften.</w:t>
      </w:r>
      <w:r w:rsidR="00E51228">
        <w:t xml:space="preserve"> </w:t>
      </w:r>
      <w:r w:rsidR="009B198C" w:rsidRPr="00A13767">
        <w:rPr>
          <w:lang w:val="sv-SE"/>
        </w:rPr>
        <w:t>År 2010 betalades 7,4 miljoner euro ut i traditionella understöd och 1,8 miljoner euro i utvecklingsunderstöd.</w:t>
      </w:r>
      <w:r w:rsidR="007D6C8A" w:rsidRPr="009B198C">
        <w:t xml:space="preserve"> </w:t>
      </w:r>
      <w:r w:rsidR="009B198C" w:rsidRPr="00A13767">
        <w:rPr>
          <w:lang w:val="sv-SE"/>
        </w:rPr>
        <w:t>Från år 2016 minskar utvecklingsunderstöden till 300 000 euro och de traditionella understöden till 2,9 miljoner euro.</w:t>
      </w:r>
      <w:r w:rsidR="008505DE">
        <w:t xml:space="preserve"> </w:t>
      </w:r>
    </w:p>
    <w:p w:rsidR="00AC7103" w:rsidRDefault="00AC7103" w:rsidP="00116B94">
      <w:pPr>
        <w:ind w:left="1304"/>
      </w:pPr>
    </w:p>
    <w:p w:rsidR="007D6C8A" w:rsidRDefault="009B198C" w:rsidP="00CA7D72">
      <w:pPr>
        <w:ind w:left="1304"/>
      </w:pPr>
      <w:r w:rsidRPr="00A13767">
        <w:rPr>
          <w:lang w:val="sv-SE"/>
        </w:rPr>
        <w:t>Understöden har finansiera</w:t>
      </w:r>
      <w:r w:rsidR="00A13767">
        <w:rPr>
          <w:lang w:val="sv-SE"/>
        </w:rPr>
        <w:t>t</w:t>
      </w:r>
      <w:r w:rsidRPr="00A13767">
        <w:rPr>
          <w:lang w:val="sv-SE"/>
        </w:rPr>
        <w:t>s med centralfondsavgifter som samlats in av församlingar</w:t>
      </w:r>
      <w:r w:rsidR="001A5270" w:rsidRPr="00A13767">
        <w:rPr>
          <w:lang w:val="sv-SE"/>
        </w:rPr>
        <w:t>na</w:t>
      </w:r>
      <w:r w:rsidRPr="00A13767">
        <w:rPr>
          <w:lang w:val="sv-SE"/>
        </w:rPr>
        <w:t>.</w:t>
      </w:r>
      <w:r w:rsidR="00CA7D72">
        <w:t xml:space="preserve"> </w:t>
      </w:r>
      <w:r w:rsidR="0056774A" w:rsidRPr="00A13767">
        <w:rPr>
          <w:lang w:val="sv-SE"/>
        </w:rPr>
        <w:t>Grund- och tilläggsavgiften och redovisningssättet för samfundsskatteandelen har justerats under årens lopp.</w:t>
      </w:r>
      <w:r w:rsidR="00CA7D72">
        <w:t xml:space="preserve"> </w:t>
      </w:r>
      <w:r w:rsidR="0056774A" w:rsidRPr="00A13767">
        <w:rPr>
          <w:lang w:val="sv-SE"/>
        </w:rPr>
        <w:t>Ändringen i samfundsskattens fördelningsandel år 2006 och ersättningen av kostnaderna för samhälleliga uppgifter med statlig finansiering från början av år 2016 har utjämnat församlingarnas inkomstfördelning och samtidigt minskat behovet av understöd från centralfonden.</w:t>
      </w:r>
      <w:r w:rsidR="00CA7D72">
        <w:t xml:space="preserve"> </w:t>
      </w:r>
      <w:r w:rsidR="0056774A" w:rsidRPr="00A13767">
        <w:rPr>
          <w:lang w:val="sv-SE"/>
        </w:rPr>
        <w:t>Förändringarna i församlingsstrukturerna har haft en liknande inverkan.</w:t>
      </w:r>
    </w:p>
    <w:p w:rsidR="007D6C8A" w:rsidRDefault="007D6C8A" w:rsidP="00116B94">
      <w:pPr>
        <w:ind w:left="1304"/>
      </w:pPr>
    </w:p>
    <w:p w:rsidR="00E62DF3" w:rsidRDefault="0056774A" w:rsidP="00116B94">
      <w:pPr>
        <w:ind w:left="1304"/>
      </w:pPr>
      <w:r w:rsidRPr="00A13767">
        <w:rPr>
          <w:lang w:val="sv-SE"/>
        </w:rPr>
        <w:t>Ekonomiutskottet anser det vara viktigt att församlingsverksamheten tryggas i hela landet och konstaterar att understödssystemet därför är viktigt.</w:t>
      </w:r>
    </w:p>
    <w:p w:rsidR="00EA00CE" w:rsidRDefault="00EA00CE" w:rsidP="00116B94">
      <w:pPr>
        <w:ind w:left="1304"/>
      </w:pPr>
    </w:p>
    <w:p w:rsidR="00104048" w:rsidRDefault="0056774A" w:rsidP="00116B94">
      <w:pPr>
        <w:ind w:left="1304"/>
      </w:pPr>
      <w:r w:rsidRPr="00A13767">
        <w:rPr>
          <w:lang w:val="sv-SE"/>
        </w:rPr>
        <w:t>Eftersom församlingarnas behov av understöd har minskat betydligt ser ekonomiutskottet inget behov av att i detta skede omvärdera det understödssystem som beskrivs ovan.</w:t>
      </w:r>
    </w:p>
    <w:p w:rsidR="00EA00CE" w:rsidRDefault="00EA00CE" w:rsidP="00116B94">
      <w:pPr>
        <w:ind w:left="1304"/>
      </w:pPr>
    </w:p>
    <w:p w:rsidR="004876B8" w:rsidRDefault="00CA7D72" w:rsidP="00116B94">
      <w:pPr>
        <w:ind w:left="1304"/>
      </w:pPr>
      <w:r w:rsidRPr="004876B8">
        <w:rPr>
          <w:noProof/>
        </w:rPr>
        <w:drawing>
          <wp:inline distT="0" distB="0" distL="0" distR="0">
            <wp:extent cx="5040000" cy="2707200"/>
            <wp:effectExtent l="0" t="0" r="8255" b="0"/>
            <wp:docPr id="2" name="Kaavi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876B8" w:rsidRDefault="004876B8" w:rsidP="00116B94">
      <w:pPr>
        <w:ind w:left="1304"/>
      </w:pPr>
    </w:p>
    <w:p w:rsidR="004876B8" w:rsidRDefault="004876B8" w:rsidP="00116B94">
      <w:pPr>
        <w:ind w:left="1304"/>
      </w:pPr>
    </w:p>
    <w:p w:rsidR="004876B8" w:rsidRDefault="004876B8" w:rsidP="00116B94">
      <w:pPr>
        <w:ind w:left="1304"/>
      </w:pPr>
    </w:p>
    <w:p w:rsidR="00582882" w:rsidRPr="007D6C8A" w:rsidRDefault="00582882">
      <w:pPr>
        <w:rPr>
          <w:b/>
        </w:rPr>
      </w:pPr>
    </w:p>
    <w:p w:rsidR="0063795D" w:rsidRDefault="0063795D" w:rsidP="00116B94">
      <w:pPr>
        <w:ind w:left="1304"/>
        <w:rPr>
          <w:b/>
        </w:rPr>
      </w:pPr>
    </w:p>
    <w:p w:rsidR="00E73C5B" w:rsidRPr="007D6C8A" w:rsidRDefault="0056774A" w:rsidP="00116B94">
      <w:pPr>
        <w:ind w:left="1304"/>
      </w:pPr>
      <w:r w:rsidRPr="00A13767">
        <w:rPr>
          <w:b/>
          <w:lang w:val="sv-SE"/>
        </w:rPr>
        <w:lastRenderedPageBreak/>
        <w:t>Ekonomiutskottets förslag</w:t>
      </w:r>
    </w:p>
    <w:p w:rsidR="00333F19" w:rsidRPr="007D6C8A" w:rsidRDefault="00333F19" w:rsidP="006A66E1">
      <w:pPr>
        <w:ind w:left="1304"/>
      </w:pPr>
    </w:p>
    <w:p w:rsidR="00582882" w:rsidRDefault="0056774A" w:rsidP="00582882">
      <w:pPr>
        <w:ind w:left="1304"/>
      </w:pPr>
      <w:r w:rsidRPr="00A13767">
        <w:rPr>
          <w:lang w:val="sv-SE"/>
        </w:rPr>
        <w:t>På ovan nämnda grunder föreslår ekonomiutskottet att kyrkomötet</w:t>
      </w:r>
    </w:p>
    <w:p w:rsidR="00582882" w:rsidRDefault="00582882" w:rsidP="00582882">
      <w:pPr>
        <w:ind w:left="1304"/>
      </w:pPr>
    </w:p>
    <w:p w:rsidR="00582882" w:rsidRDefault="001A5270" w:rsidP="00582882">
      <w:pPr>
        <w:ind w:left="2608"/>
      </w:pPr>
      <w:r w:rsidRPr="00A13767">
        <w:rPr>
          <w:lang w:val="sv-SE"/>
        </w:rPr>
        <w:t>l</w:t>
      </w:r>
      <w:r w:rsidR="0056774A" w:rsidRPr="00A13767">
        <w:rPr>
          <w:lang w:val="sv-SE"/>
        </w:rPr>
        <w:t xml:space="preserve">åter ombudsinitiativ 7/2015, </w:t>
      </w:r>
      <w:r w:rsidRPr="00A13767">
        <w:rPr>
          <w:lang w:val="sv-SE"/>
        </w:rPr>
        <w:t>nytt understödssystem för församlingarna, förfalla.</w:t>
      </w:r>
    </w:p>
    <w:p w:rsidR="0057286C" w:rsidRDefault="0057286C" w:rsidP="006A66E1">
      <w:pPr>
        <w:ind w:left="1304"/>
      </w:pPr>
    </w:p>
    <w:p w:rsidR="00A93FA6" w:rsidRDefault="00A93FA6" w:rsidP="006A66E1">
      <w:pPr>
        <w:ind w:left="1304"/>
      </w:pPr>
    </w:p>
    <w:p w:rsidR="00A93FA6" w:rsidRDefault="00A93FA6" w:rsidP="006A66E1">
      <w:pPr>
        <w:ind w:left="1304"/>
      </w:pPr>
    </w:p>
    <w:p w:rsidR="00A93FA6" w:rsidRDefault="00A93FA6" w:rsidP="006A66E1">
      <w:pPr>
        <w:ind w:left="1304"/>
      </w:pPr>
    </w:p>
    <w:p w:rsidR="00643D17" w:rsidRDefault="00643D17" w:rsidP="006A66E1">
      <w:pPr>
        <w:ind w:left="1304"/>
      </w:pPr>
    </w:p>
    <w:p w:rsidR="009C1809" w:rsidRDefault="001A5270" w:rsidP="00D0415F">
      <w:pPr>
        <w:ind w:left="1304"/>
      </w:pPr>
      <w:r w:rsidRPr="00A13767">
        <w:rPr>
          <w:lang w:val="sv-SE"/>
        </w:rPr>
        <w:t>Åbo den 4 november 2015</w:t>
      </w:r>
    </w:p>
    <w:p w:rsidR="00D0415F" w:rsidRDefault="00D0415F" w:rsidP="00D0415F">
      <w:pPr>
        <w:ind w:left="1304"/>
      </w:pPr>
    </w:p>
    <w:p w:rsidR="009C1809" w:rsidRDefault="009C1809" w:rsidP="009C1809"/>
    <w:p w:rsidR="009C1809" w:rsidRDefault="001A5270" w:rsidP="009C1809">
      <w:pPr>
        <w:jc w:val="center"/>
      </w:pPr>
      <w:r w:rsidRPr="00A13767">
        <w:rPr>
          <w:lang w:val="sv-SE"/>
        </w:rPr>
        <w:t>För ekonomiutskottet</w:t>
      </w:r>
    </w:p>
    <w:p w:rsidR="00D0415F" w:rsidRDefault="00D0415F" w:rsidP="009C1809">
      <w:pPr>
        <w:jc w:val="center"/>
      </w:pPr>
    </w:p>
    <w:p w:rsidR="009C1809" w:rsidRDefault="009C1809" w:rsidP="009C1809"/>
    <w:p w:rsidR="009C1809" w:rsidRDefault="009C1809" w:rsidP="009C1809"/>
    <w:p w:rsidR="009C1809" w:rsidRDefault="001A5270" w:rsidP="009C1809">
      <w:pPr>
        <w:ind w:left="1304"/>
      </w:pPr>
      <w:r w:rsidRPr="00A13767">
        <w:rPr>
          <w:lang w:val="sv-SE"/>
        </w:rPr>
        <w:t>Pertti Simola</w:t>
      </w:r>
      <w:r w:rsidR="009C1809">
        <w:tab/>
      </w:r>
      <w:r w:rsidR="009C1809">
        <w:tab/>
      </w:r>
      <w:r w:rsidR="009C1809">
        <w:tab/>
      </w:r>
      <w:r w:rsidR="009C1809">
        <w:tab/>
      </w:r>
      <w:r w:rsidRPr="00A13767">
        <w:rPr>
          <w:lang w:val="sv-SE"/>
        </w:rPr>
        <w:t>Pasi Perander</w:t>
      </w:r>
    </w:p>
    <w:p w:rsidR="009C1809" w:rsidRDefault="001A5270" w:rsidP="00D0415F">
      <w:pPr>
        <w:ind w:left="1304"/>
      </w:pPr>
      <w:r w:rsidRPr="00A13767">
        <w:rPr>
          <w:lang w:val="sv-SE"/>
        </w:rPr>
        <w:t>ordförande</w:t>
      </w:r>
      <w:r w:rsidR="009C1809">
        <w:tab/>
      </w:r>
      <w:r w:rsidR="009C1809">
        <w:tab/>
      </w:r>
      <w:r w:rsidR="009C1809">
        <w:tab/>
      </w:r>
      <w:r w:rsidR="00A13767">
        <w:tab/>
      </w:r>
      <w:r w:rsidRPr="00A13767">
        <w:rPr>
          <w:lang w:val="sv-SE"/>
        </w:rPr>
        <w:t>sekreterare</w:t>
      </w:r>
    </w:p>
    <w:p w:rsidR="009B5868" w:rsidRDefault="009B5868" w:rsidP="00D0415F">
      <w:pPr>
        <w:ind w:left="1304"/>
      </w:pPr>
    </w:p>
    <w:p w:rsidR="009C1809" w:rsidRDefault="009C1809" w:rsidP="009C1809"/>
    <w:p w:rsidR="009C1809" w:rsidRDefault="009C1809" w:rsidP="009C1809"/>
    <w:p w:rsidR="00811EC3" w:rsidRDefault="001A5270" w:rsidP="00D4213E">
      <w:pPr>
        <w:ind w:left="1304"/>
        <w:jc w:val="both"/>
      </w:pPr>
      <w:r w:rsidRPr="00A13767">
        <w:rPr>
          <w:lang w:val="sv-SE"/>
        </w:rPr>
        <w:t>I behandlingen av ärendet deltog ordförande Simola och medlemmarna Alasalmi, A. Jalava, Kauranen, Koskelo, Kultima, Mäkinen, Paananen, Peräaho, Rajala, Rönkä, Sahi, Salmi, Silfverhuth, Sorvari, Tähtinen och Westerlund.</w:t>
      </w:r>
    </w:p>
    <w:sectPr w:rsidR="00811EC3" w:rsidSect="005D1649">
      <w:headerReference w:type="even" r:id="rId9"/>
      <w:headerReference w:type="default" r:id="rId10"/>
      <w:headerReference w:type="first" r:id="rId11"/>
      <w:pgSz w:w="11906" w:h="16838" w:code="9"/>
      <w:pgMar w:top="737"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98C" w:rsidRDefault="009B198C">
      <w:r>
        <w:separator/>
      </w:r>
    </w:p>
  </w:endnote>
  <w:endnote w:type="continuationSeparator" w:id="0">
    <w:p w:rsidR="009B198C" w:rsidRDefault="009B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98C" w:rsidRDefault="009B198C">
      <w:r>
        <w:separator/>
      </w:r>
    </w:p>
  </w:footnote>
  <w:footnote w:type="continuationSeparator" w:id="0">
    <w:p w:rsidR="009B198C" w:rsidRDefault="009B1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98C" w:rsidRDefault="009B198C">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9B198C" w:rsidRDefault="009B198C">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98C" w:rsidRDefault="009B198C">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2C0339">
      <w:rPr>
        <w:rStyle w:val="Sivunumero"/>
        <w:noProof/>
      </w:rPr>
      <w:t>2</w:t>
    </w:r>
    <w:r>
      <w:rPr>
        <w:rStyle w:val="Sivunumero"/>
      </w:rPr>
      <w:fldChar w:fldCharType="end"/>
    </w:r>
  </w:p>
  <w:p w:rsidR="009B198C" w:rsidRDefault="009B198C">
    <w:pPr>
      <w:pStyle w:val="Yltunniste"/>
    </w:pPr>
  </w:p>
  <w:p w:rsidR="009B198C" w:rsidRDefault="009B198C">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98C" w:rsidRDefault="009B198C">
    <w:pPr>
      <w:pStyle w:val="Yltunniste"/>
    </w:pPr>
  </w:p>
  <w:p w:rsidR="009B198C" w:rsidRDefault="009B198C">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2454D"/>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5D3C2E"/>
    <w:multiLevelType w:val="singleLevel"/>
    <w:tmpl w:val="040B000F"/>
    <w:lvl w:ilvl="0">
      <w:start w:val="1"/>
      <w:numFmt w:val="decimal"/>
      <w:lvlText w:val="%1."/>
      <w:lvlJc w:val="left"/>
      <w:pPr>
        <w:tabs>
          <w:tab w:val="num" w:pos="360"/>
        </w:tabs>
        <w:ind w:left="360" w:hanging="360"/>
      </w:pPr>
      <w:rPr>
        <w:rFonts w:hint="default"/>
      </w:rPr>
    </w:lvl>
  </w:abstractNum>
  <w:abstractNum w:abstractNumId="2" w15:restartNumberingAfterBreak="0">
    <w:nsid w:val="14581CE1"/>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823959"/>
    <w:multiLevelType w:val="hybridMultilevel"/>
    <w:tmpl w:val="AB521CB6"/>
    <w:lvl w:ilvl="0" w:tplc="9E5E1D7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 w15:restartNumberingAfterBreak="0">
    <w:nsid w:val="2A1D5799"/>
    <w:multiLevelType w:val="hybridMultilevel"/>
    <w:tmpl w:val="51523AD6"/>
    <w:lvl w:ilvl="0" w:tplc="E8E2B1E6">
      <w:start w:val="3"/>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48F34AD1"/>
    <w:multiLevelType w:val="singleLevel"/>
    <w:tmpl w:val="040B000F"/>
    <w:lvl w:ilvl="0">
      <w:start w:val="1"/>
      <w:numFmt w:val="decimal"/>
      <w:lvlText w:val="%1."/>
      <w:lvlJc w:val="left"/>
      <w:pPr>
        <w:tabs>
          <w:tab w:val="num" w:pos="360"/>
        </w:tabs>
        <w:ind w:left="360" w:hanging="360"/>
      </w:pPr>
      <w:rPr>
        <w:rFonts w:hint="default"/>
      </w:rPr>
    </w:lvl>
  </w:abstractNum>
  <w:abstractNum w:abstractNumId="6" w15:restartNumberingAfterBreak="0">
    <w:nsid w:val="50493FA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C801BBF"/>
    <w:multiLevelType w:val="singleLevel"/>
    <w:tmpl w:val="040B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6"/>
  </w:num>
  <w:num w:numId="4">
    <w:abstractNumId w:val="7"/>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B7"/>
    <w:rsid w:val="00004D33"/>
    <w:rsid w:val="00021CE0"/>
    <w:rsid w:val="00022AE6"/>
    <w:rsid w:val="000276C9"/>
    <w:rsid w:val="000312AE"/>
    <w:rsid w:val="000424A4"/>
    <w:rsid w:val="00054EB2"/>
    <w:rsid w:val="0007057A"/>
    <w:rsid w:val="00082C1D"/>
    <w:rsid w:val="00084A54"/>
    <w:rsid w:val="00086EBE"/>
    <w:rsid w:val="000A31A9"/>
    <w:rsid w:val="000C6375"/>
    <w:rsid w:val="000C7F25"/>
    <w:rsid w:val="000E745A"/>
    <w:rsid w:val="000F7C35"/>
    <w:rsid w:val="00104048"/>
    <w:rsid w:val="00106FA2"/>
    <w:rsid w:val="0011047F"/>
    <w:rsid w:val="00115075"/>
    <w:rsid w:val="00116B94"/>
    <w:rsid w:val="00147689"/>
    <w:rsid w:val="00150878"/>
    <w:rsid w:val="00163E3A"/>
    <w:rsid w:val="0017069D"/>
    <w:rsid w:val="001748F9"/>
    <w:rsid w:val="00177E35"/>
    <w:rsid w:val="001950F2"/>
    <w:rsid w:val="001A5270"/>
    <w:rsid w:val="001B3AD9"/>
    <w:rsid w:val="001C1C8E"/>
    <w:rsid w:val="001D5010"/>
    <w:rsid w:val="001E36A5"/>
    <w:rsid w:val="001E3927"/>
    <w:rsid w:val="001F77FE"/>
    <w:rsid w:val="0022007E"/>
    <w:rsid w:val="00246383"/>
    <w:rsid w:val="002621F8"/>
    <w:rsid w:val="0026266A"/>
    <w:rsid w:val="0027253F"/>
    <w:rsid w:val="00277F2D"/>
    <w:rsid w:val="0028075F"/>
    <w:rsid w:val="002907FD"/>
    <w:rsid w:val="002A1165"/>
    <w:rsid w:val="002A1577"/>
    <w:rsid w:val="002A4B5F"/>
    <w:rsid w:val="002B6D0A"/>
    <w:rsid w:val="002B7448"/>
    <w:rsid w:val="002C0339"/>
    <w:rsid w:val="002D5967"/>
    <w:rsid w:val="002E4E2B"/>
    <w:rsid w:val="00305E57"/>
    <w:rsid w:val="00311561"/>
    <w:rsid w:val="003167E7"/>
    <w:rsid w:val="0032085A"/>
    <w:rsid w:val="003221B3"/>
    <w:rsid w:val="00330E7B"/>
    <w:rsid w:val="00333F19"/>
    <w:rsid w:val="0034424A"/>
    <w:rsid w:val="003457D8"/>
    <w:rsid w:val="00361039"/>
    <w:rsid w:val="003611CE"/>
    <w:rsid w:val="00365E44"/>
    <w:rsid w:val="003707AC"/>
    <w:rsid w:val="0038382E"/>
    <w:rsid w:val="00391F1F"/>
    <w:rsid w:val="003A23EC"/>
    <w:rsid w:val="003B5726"/>
    <w:rsid w:val="003C0721"/>
    <w:rsid w:val="003C174D"/>
    <w:rsid w:val="003C181D"/>
    <w:rsid w:val="003D5E05"/>
    <w:rsid w:val="003D7A31"/>
    <w:rsid w:val="003E3AE6"/>
    <w:rsid w:val="00400A8B"/>
    <w:rsid w:val="00413F87"/>
    <w:rsid w:val="0042360D"/>
    <w:rsid w:val="0045249E"/>
    <w:rsid w:val="0045529C"/>
    <w:rsid w:val="004737C3"/>
    <w:rsid w:val="004758CA"/>
    <w:rsid w:val="004876B8"/>
    <w:rsid w:val="0049237B"/>
    <w:rsid w:val="004C1928"/>
    <w:rsid w:val="004E6900"/>
    <w:rsid w:val="004F2282"/>
    <w:rsid w:val="004F3CA0"/>
    <w:rsid w:val="004F465D"/>
    <w:rsid w:val="005005C3"/>
    <w:rsid w:val="005018DC"/>
    <w:rsid w:val="00511D1A"/>
    <w:rsid w:val="00515C7E"/>
    <w:rsid w:val="005239DB"/>
    <w:rsid w:val="00524F25"/>
    <w:rsid w:val="005267AF"/>
    <w:rsid w:val="0052692D"/>
    <w:rsid w:val="00535F72"/>
    <w:rsid w:val="00536D27"/>
    <w:rsid w:val="00540B2A"/>
    <w:rsid w:val="00542496"/>
    <w:rsid w:val="005535EA"/>
    <w:rsid w:val="005545C2"/>
    <w:rsid w:val="0056774A"/>
    <w:rsid w:val="005678C4"/>
    <w:rsid w:val="0057286C"/>
    <w:rsid w:val="0058035D"/>
    <w:rsid w:val="00582882"/>
    <w:rsid w:val="005848E1"/>
    <w:rsid w:val="00586939"/>
    <w:rsid w:val="00587B6F"/>
    <w:rsid w:val="005B60F7"/>
    <w:rsid w:val="005C3F3D"/>
    <w:rsid w:val="005D1649"/>
    <w:rsid w:val="005D2031"/>
    <w:rsid w:val="005F5247"/>
    <w:rsid w:val="00611DF5"/>
    <w:rsid w:val="00631B54"/>
    <w:rsid w:val="00634777"/>
    <w:rsid w:val="0063698C"/>
    <w:rsid w:val="0063795D"/>
    <w:rsid w:val="006420E2"/>
    <w:rsid w:val="00643D17"/>
    <w:rsid w:val="00645D29"/>
    <w:rsid w:val="00647334"/>
    <w:rsid w:val="00662D7B"/>
    <w:rsid w:val="00674255"/>
    <w:rsid w:val="0069341E"/>
    <w:rsid w:val="00695F39"/>
    <w:rsid w:val="006A2D73"/>
    <w:rsid w:val="006A66E1"/>
    <w:rsid w:val="006A6D67"/>
    <w:rsid w:val="006B433D"/>
    <w:rsid w:val="006C3FB8"/>
    <w:rsid w:val="006C4473"/>
    <w:rsid w:val="006C5AB4"/>
    <w:rsid w:val="006E78C7"/>
    <w:rsid w:val="00705C2F"/>
    <w:rsid w:val="0073788A"/>
    <w:rsid w:val="00743A6D"/>
    <w:rsid w:val="00746774"/>
    <w:rsid w:val="00760F32"/>
    <w:rsid w:val="00761CDE"/>
    <w:rsid w:val="00766D8F"/>
    <w:rsid w:val="00776D58"/>
    <w:rsid w:val="00790D1D"/>
    <w:rsid w:val="00795E08"/>
    <w:rsid w:val="007A58C5"/>
    <w:rsid w:val="007C2BA4"/>
    <w:rsid w:val="007D2F4F"/>
    <w:rsid w:val="007D5EF9"/>
    <w:rsid w:val="007D6C8A"/>
    <w:rsid w:val="00803D73"/>
    <w:rsid w:val="00804E57"/>
    <w:rsid w:val="00811EC3"/>
    <w:rsid w:val="00825008"/>
    <w:rsid w:val="00845BB8"/>
    <w:rsid w:val="008505DE"/>
    <w:rsid w:val="00850F19"/>
    <w:rsid w:val="00855DD8"/>
    <w:rsid w:val="00856908"/>
    <w:rsid w:val="00864960"/>
    <w:rsid w:val="008875BF"/>
    <w:rsid w:val="00887DBF"/>
    <w:rsid w:val="00893DC3"/>
    <w:rsid w:val="00896E93"/>
    <w:rsid w:val="008C5235"/>
    <w:rsid w:val="008D283D"/>
    <w:rsid w:val="008E278A"/>
    <w:rsid w:val="008E369F"/>
    <w:rsid w:val="008E70CD"/>
    <w:rsid w:val="00902FC0"/>
    <w:rsid w:val="0091496B"/>
    <w:rsid w:val="009264FF"/>
    <w:rsid w:val="0093372D"/>
    <w:rsid w:val="00934557"/>
    <w:rsid w:val="009403C3"/>
    <w:rsid w:val="00942518"/>
    <w:rsid w:val="00944203"/>
    <w:rsid w:val="009933EF"/>
    <w:rsid w:val="00993DD9"/>
    <w:rsid w:val="009A2DD1"/>
    <w:rsid w:val="009A2F61"/>
    <w:rsid w:val="009B198C"/>
    <w:rsid w:val="009B1EC1"/>
    <w:rsid w:val="009B5868"/>
    <w:rsid w:val="009C1809"/>
    <w:rsid w:val="009C3DAC"/>
    <w:rsid w:val="009C63B7"/>
    <w:rsid w:val="009D3452"/>
    <w:rsid w:val="009E56DE"/>
    <w:rsid w:val="009E63A9"/>
    <w:rsid w:val="00A02A25"/>
    <w:rsid w:val="00A109F3"/>
    <w:rsid w:val="00A13071"/>
    <w:rsid w:val="00A13767"/>
    <w:rsid w:val="00A1597D"/>
    <w:rsid w:val="00A24354"/>
    <w:rsid w:val="00A33D1F"/>
    <w:rsid w:val="00A503F3"/>
    <w:rsid w:val="00A6553C"/>
    <w:rsid w:val="00A71656"/>
    <w:rsid w:val="00A81D51"/>
    <w:rsid w:val="00A83AAB"/>
    <w:rsid w:val="00A8565E"/>
    <w:rsid w:val="00A86FA0"/>
    <w:rsid w:val="00A93FA6"/>
    <w:rsid w:val="00A9525B"/>
    <w:rsid w:val="00AC565C"/>
    <w:rsid w:val="00AC5B5B"/>
    <w:rsid w:val="00AC7103"/>
    <w:rsid w:val="00AD566D"/>
    <w:rsid w:val="00AF5429"/>
    <w:rsid w:val="00AF61A0"/>
    <w:rsid w:val="00AF69C3"/>
    <w:rsid w:val="00AF73FD"/>
    <w:rsid w:val="00B033B1"/>
    <w:rsid w:val="00B07F06"/>
    <w:rsid w:val="00B157CF"/>
    <w:rsid w:val="00B54013"/>
    <w:rsid w:val="00B54072"/>
    <w:rsid w:val="00B61645"/>
    <w:rsid w:val="00B65830"/>
    <w:rsid w:val="00B80E6F"/>
    <w:rsid w:val="00B86775"/>
    <w:rsid w:val="00B93934"/>
    <w:rsid w:val="00BC3A3C"/>
    <w:rsid w:val="00BC4C41"/>
    <w:rsid w:val="00BE1669"/>
    <w:rsid w:val="00BF51C7"/>
    <w:rsid w:val="00BF6E14"/>
    <w:rsid w:val="00C1697D"/>
    <w:rsid w:val="00C30208"/>
    <w:rsid w:val="00C57936"/>
    <w:rsid w:val="00C63881"/>
    <w:rsid w:val="00C64E86"/>
    <w:rsid w:val="00C70578"/>
    <w:rsid w:val="00C82E78"/>
    <w:rsid w:val="00C86234"/>
    <w:rsid w:val="00C867E9"/>
    <w:rsid w:val="00CA4459"/>
    <w:rsid w:val="00CA7D72"/>
    <w:rsid w:val="00CE68EB"/>
    <w:rsid w:val="00CF5E7B"/>
    <w:rsid w:val="00D0415F"/>
    <w:rsid w:val="00D04952"/>
    <w:rsid w:val="00D11014"/>
    <w:rsid w:val="00D258AA"/>
    <w:rsid w:val="00D40A99"/>
    <w:rsid w:val="00D4213E"/>
    <w:rsid w:val="00D445FE"/>
    <w:rsid w:val="00D6237A"/>
    <w:rsid w:val="00D95F1B"/>
    <w:rsid w:val="00DA0B63"/>
    <w:rsid w:val="00DC2430"/>
    <w:rsid w:val="00DD4B37"/>
    <w:rsid w:val="00DD515F"/>
    <w:rsid w:val="00DE0E6E"/>
    <w:rsid w:val="00DE7EC4"/>
    <w:rsid w:val="00E00C33"/>
    <w:rsid w:val="00E0370C"/>
    <w:rsid w:val="00E06AC2"/>
    <w:rsid w:val="00E071A9"/>
    <w:rsid w:val="00E10C0F"/>
    <w:rsid w:val="00E14E20"/>
    <w:rsid w:val="00E16DFC"/>
    <w:rsid w:val="00E21368"/>
    <w:rsid w:val="00E31D48"/>
    <w:rsid w:val="00E32061"/>
    <w:rsid w:val="00E323F1"/>
    <w:rsid w:val="00E3266D"/>
    <w:rsid w:val="00E40845"/>
    <w:rsid w:val="00E51228"/>
    <w:rsid w:val="00E62DF3"/>
    <w:rsid w:val="00E70400"/>
    <w:rsid w:val="00E71820"/>
    <w:rsid w:val="00E71E94"/>
    <w:rsid w:val="00E73C5B"/>
    <w:rsid w:val="00E76D74"/>
    <w:rsid w:val="00EA00CE"/>
    <w:rsid w:val="00EA754D"/>
    <w:rsid w:val="00EB468A"/>
    <w:rsid w:val="00EC0A71"/>
    <w:rsid w:val="00EC293F"/>
    <w:rsid w:val="00EC378D"/>
    <w:rsid w:val="00EF15B0"/>
    <w:rsid w:val="00F22582"/>
    <w:rsid w:val="00F22630"/>
    <w:rsid w:val="00F41D87"/>
    <w:rsid w:val="00F42B02"/>
    <w:rsid w:val="00F573E5"/>
    <w:rsid w:val="00F61588"/>
    <w:rsid w:val="00F639AC"/>
    <w:rsid w:val="00F65AA0"/>
    <w:rsid w:val="00F85D5D"/>
    <w:rsid w:val="00FA3D42"/>
    <w:rsid w:val="00FB20E7"/>
    <w:rsid w:val="00FD4E76"/>
    <w:rsid w:val="00FF16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3190A5-241C-44D2-94A9-A5AD8833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D1649"/>
    <w:rPr>
      <w:sz w:val="24"/>
    </w:rPr>
  </w:style>
  <w:style w:type="paragraph" w:styleId="Otsikko1">
    <w:name w:val="heading 1"/>
    <w:basedOn w:val="Normaali"/>
    <w:next w:val="Normaali"/>
    <w:qFormat/>
    <w:rsid w:val="005D1649"/>
    <w:pPr>
      <w:keepNext/>
      <w:ind w:left="2608"/>
      <w:outlineLvl w:val="0"/>
    </w:pPr>
    <w:rPr>
      <w:b/>
    </w:rPr>
  </w:style>
  <w:style w:type="paragraph" w:styleId="Otsikko2">
    <w:name w:val="heading 2"/>
    <w:basedOn w:val="Normaali"/>
    <w:next w:val="Normaali"/>
    <w:qFormat/>
    <w:rsid w:val="005D1649"/>
    <w:pPr>
      <w:keepNext/>
      <w:autoSpaceDE w:val="0"/>
      <w:autoSpaceDN w:val="0"/>
      <w:adjustRightInd w:val="0"/>
      <w:outlineLvl w:val="1"/>
    </w:pPr>
    <w:rPr>
      <w:i/>
    </w:rPr>
  </w:style>
  <w:style w:type="paragraph" w:styleId="Otsikko3">
    <w:name w:val="heading 3"/>
    <w:basedOn w:val="Normaali"/>
    <w:next w:val="Normaali"/>
    <w:qFormat/>
    <w:rsid w:val="005D1649"/>
    <w:pPr>
      <w:keepNext/>
      <w:jc w:val="right"/>
      <w:outlineLvl w:val="2"/>
    </w:pPr>
    <w:rPr>
      <w:b/>
      <w:bCs/>
    </w:rPr>
  </w:style>
  <w:style w:type="paragraph" w:styleId="Otsikko4">
    <w:name w:val="heading 4"/>
    <w:basedOn w:val="Normaali"/>
    <w:next w:val="Normaali"/>
    <w:qFormat/>
    <w:rsid w:val="005D1649"/>
    <w:pPr>
      <w:keepNext/>
      <w:tabs>
        <w:tab w:val="decimal" w:pos="7040"/>
      </w:tabs>
      <w:autoSpaceDE w:val="0"/>
      <w:autoSpaceDN w:val="0"/>
      <w:adjustRightInd w:val="0"/>
      <w:ind w:left="1304"/>
      <w:outlineLvl w:val="3"/>
    </w:pPr>
    <w:rPr>
      <w:color w:val="000000"/>
      <w:szCs w:val="24"/>
      <w:u w:val="single"/>
    </w:rPr>
  </w:style>
  <w:style w:type="paragraph" w:styleId="Otsikko5">
    <w:name w:val="heading 5"/>
    <w:basedOn w:val="Normaali"/>
    <w:next w:val="Normaali"/>
    <w:qFormat/>
    <w:rsid w:val="005D1649"/>
    <w:pPr>
      <w:keepNext/>
      <w:outlineLvl w:val="4"/>
    </w:pPr>
    <w:rPr>
      <w:b/>
      <w:bCs/>
    </w:rPr>
  </w:style>
  <w:style w:type="paragraph" w:styleId="Otsikko6">
    <w:name w:val="heading 6"/>
    <w:basedOn w:val="Normaali"/>
    <w:next w:val="Normaali"/>
    <w:qFormat/>
    <w:rsid w:val="005D1649"/>
    <w:pPr>
      <w:keepNext/>
      <w:autoSpaceDE w:val="0"/>
      <w:autoSpaceDN w:val="0"/>
      <w:adjustRightInd w:val="0"/>
      <w:ind w:left="1304"/>
      <w:outlineLvl w:val="5"/>
    </w:pPr>
    <w:rPr>
      <w:i/>
      <w:iCs/>
      <w:color w:val="000000"/>
      <w:szCs w:val="24"/>
    </w:rPr>
  </w:style>
  <w:style w:type="paragraph" w:styleId="Otsikko7">
    <w:name w:val="heading 7"/>
    <w:basedOn w:val="Normaali"/>
    <w:next w:val="Normaali"/>
    <w:qFormat/>
    <w:rsid w:val="005D1649"/>
    <w:pPr>
      <w:keepNext/>
      <w:autoSpaceDE w:val="0"/>
      <w:autoSpaceDN w:val="0"/>
      <w:adjustRightInd w:val="0"/>
      <w:outlineLvl w:val="6"/>
    </w:pPr>
    <w:rPr>
      <w:b/>
      <w:bCs/>
      <w:color w:val="000000"/>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semiHidden/>
    <w:rsid w:val="005D1649"/>
    <w:pPr>
      <w:ind w:left="2608"/>
    </w:pPr>
    <w:rPr>
      <w:b/>
    </w:rPr>
  </w:style>
  <w:style w:type="paragraph" w:styleId="Alaviitteenteksti">
    <w:name w:val="footnote text"/>
    <w:basedOn w:val="Normaali"/>
    <w:semiHidden/>
    <w:rsid w:val="005D1649"/>
    <w:rPr>
      <w:sz w:val="20"/>
    </w:rPr>
  </w:style>
  <w:style w:type="character" w:styleId="Alaviitteenviite">
    <w:name w:val="footnote reference"/>
    <w:semiHidden/>
    <w:rsid w:val="005D1649"/>
    <w:rPr>
      <w:vertAlign w:val="superscript"/>
    </w:rPr>
  </w:style>
  <w:style w:type="paragraph" w:styleId="Yltunniste">
    <w:name w:val="header"/>
    <w:basedOn w:val="Normaali"/>
    <w:semiHidden/>
    <w:rsid w:val="005D1649"/>
    <w:pPr>
      <w:tabs>
        <w:tab w:val="center" w:pos="4819"/>
        <w:tab w:val="right" w:pos="9638"/>
      </w:tabs>
    </w:pPr>
  </w:style>
  <w:style w:type="character" w:styleId="Sivunumero">
    <w:name w:val="page number"/>
    <w:basedOn w:val="Kappaleenoletusfontti"/>
    <w:semiHidden/>
    <w:rsid w:val="005D1649"/>
  </w:style>
  <w:style w:type="paragraph" w:styleId="Sisennettyleipteksti2">
    <w:name w:val="Body Text Indent 2"/>
    <w:basedOn w:val="Normaali"/>
    <w:semiHidden/>
    <w:rsid w:val="005D1649"/>
    <w:pPr>
      <w:autoSpaceDE w:val="0"/>
      <w:autoSpaceDN w:val="0"/>
      <w:adjustRightInd w:val="0"/>
      <w:ind w:left="1304"/>
      <w:jc w:val="both"/>
    </w:pPr>
  </w:style>
  <w:style w:type="paragraph" w:styleId="Alatunniste">
    <w:name w:val="footer"/>
    <w:basedOn w:val="Normaali"/>
    <w:semiHidden/>
    <w:rsid w:val="005D1649"/>
    <w:pPr>
      <w:tabs>
        <w:tab w:val="center" w:pos="4819"/>
        <w:tab w:val="right" w:pos="9638"/>
      </w:tabs>
    </w:pPr>
  </w:style>
  <w:style w:type="paragraph" w:styleId="Sisennettyleipteksti3">
    <w:name w:val="Body Text Indent 3"/>
    <w:basedOn w:val="Normaali"/>
    <w:semiHidden/>
    <w:rsid w:val="005D1649"/>
    <w:pPr>
      <w:ind w:left="1304"/>
    </w:pPr>
  </w:style>
  <w:style w:type="paragraph" w:styleId="Leipteksti">
    <w:name w:val="Body Text"/>
    <w:basedOn w:val="Normaali"/>
    <w:semiHidden/>
    <w:rsid w:val="005D1649"/>
    <w:rPr>
      <w:b/>
      <w:bCs/>
    </w:rPr>
  </w:style>
  <w:style w:type="paragraph" w:styleId="Seliteteksti">
    <w:name w:val="Balloon Text"/>
    <w:basedOn w:val="Normaali"/>
    <w:link w:val="SelitetekstiChar"/>
    <w:uiPriority w:val="99"/>
    <w:semiHidden/>
    <w:unhideWhenUsed/>
    <w:rsid w:val="00D04952"/>
    <w:rPr>
      <w:rFonts w:ascii="Tahoma" w:hAnsi="Tahoma" w:cs="Tahoma"/>
      <w:sz w:val="16"/>
      <w:szCs w:val="16"/>
    </w:rPr>
  </w:style>
  <w:style w:type="character" w:customStyle="1" w:styleId="SelitetekstiChar">
    <w:name w:val="Seliteteksti Char"/>
    <w:link w:val="Seliteteksti"/>
    <w:uiPriority w:val="99"/>
    <w:semiHidden/>
    <w:rsid w:val="00D049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S2TEOS\home\za026186\lrantanen\Data\TTS%2002%20-\TTS%2016-18\TTS%2016-18,%20laaja%20valmistelu%20II.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i-FI"/>
              <a:t>Seurakunta-avustukset</a:t>
            </a:r>
            <a:r>
              <a:rPr lang="fi-FI" baseline="0"/>
              <a:t> </a:t>
            </a:r>
            <a:r>
              <a:rPr lang="fi-FI"/>
              <a:t>2002</a:t>
            </a:r>
            <a:r>
              <a:rPr lang="fi-FI">
                <a:latin typeface="Martti" panose="02000000000000000000" pitchFamily="2" charset="0"/>
              </a:rPr>
              <a:t>–</a:t>
            </a:r>
            <a:r>
              <a:rPr lang="fi-FI"/>
              <a:t>2018</a:t>
            </a:r>
          </a:p>
          <a:p>
            <a:pPr>
              <a:defRPr sz="1400" b="0" i="0" u="none" strike="noStrike" kern="1200" spc="0" baseline="0">
                <a:solidFill>
                  <a:schemeClr val="tx1">
                    <a:lumMod val="65000"/>
                    <a:lumOff val="35000"/>
                  </a:schemeClr>
                </a:solidFill>
                <a:latin typeface="+mn-lt"/>
                <a:ea typeface="+mn-ea"/>
                <a:cs typeface="+mn-cs"/>
              </a:defRPr>
            </a:pPr>
            <a:r>
              <a:rPr lang="fi-FI"/>
              <a:t>milj euroa</a:t>
            </a:r>
          </a:p>
        </c:rich>
      </c:tx>
      <c:layout>
        <c:manualLayout>
          <c:xMode val="edge"/>
          <c:yMode val="edge"/>
          <c:x val="0.24717782458117521"/>
          <c:y val="2.8149190710767071E-2"/>
        </c:manualLayout>
      </c:layout>
      <c:overlay val="0"/>
      <c:spPr>
        <a:noFill/>
        <a:ln>
          <a:noFill/>
        </a:ln>
        <a:effectLst/>
      </c:spPr>
    </c:title>
    <c:autoTitleDeleted val="0"/>
    <c:plotArea>
      <c:layout>
        <c:manualLayout>
          <c:layoutTarget val="inner"/>
          <c:xMode val="edge"/>
          <c:yMode val="edge"/>
          <c:x val="5.544025215819845E-2"/>
          <c:y val="0.10818919807712915"/>
          <c:w val="0.94711387783713696"/>
          <c:h val="0.82530876439165157"/>
        </c:manualLayout>
      </c:layout>
      <c:barChart>
        <c:barDir val="col"/>
        <c:grouping val="stacked"/>
        <c:varyColors val="0"/>
        <c:ser>
          <c:idx val="0"/>
          <c:order val="0"/>
          <c:tx>
            <c:strRef>
              <c:f>aputauluja!$A$100</c:f>
              <c:strCache>
                <c:ptCount val="1"/>
                <c:pt idx="0">
                  <c:v>Perinteiset avustukset</c:v>
                </c:pt>
              </c:strCache>
            </c:strRef>
          </c:tx>
          <c:spPr>
            <a:solidFill>
              <a:schemeClr val="accent1"/>
            </a:solidFill>
            <a:ln>
              <a:noFill/>
            </a:ln>
            <a:effectLst/>
          </c:spPr>
          <c:invertIfNegative val="0"/>
          <c:dLbls>
            <c:dLbl>
              <c:idx val="0"/>
              <c:layout>
                <c:manualLayout>
                  <c:x val="2.5198437696862795E-3"/>
                  <c:y val="-0.34717335209946065"/>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267417311752287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267417311752287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5198437696862795E-3"/>
                  <c:y val="-0.23457658925639224"/>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2017358667604974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5198437696862795E-3"/>
                  <c:y val="-0.14074595355383537"/>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5198437696862795E-3"/>
                  <c:y val="-0.19704433497536955"/>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
                  <c:y val="-0.14543748533896325"/>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5198437696861871E-3"/>
                  <c:y val="-0.15951208069434675"/>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
                  <c:y val="-0.15012901712409105"/>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
                  <c:y val="-0.1501290171240911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9.239320422098425E-17"/>
                  <c:y val="-0.131362889983579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9.239320422098425E-17"/>
                  <c:y val="-0.11728829462819619"/>
                </c:manualLayout>
              </c:layout>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9.239320422098425E-17"/>
                  <c:y val="-0.1313628899835796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0"/>
                  <c:y val="-7.975604034717337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2.5198437696862795E-3"/>
                  <c:y val="-7.975604034717337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2.5198437696864642E-3"/>
                  <c:y val="-7.975604034717337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t" anchorCtr="0">
                <a:spAutoFit/>
              </a:bodyPr>
              <a:lstStyle/>
              <a:p>
                <a:pPr>
                  <a:defRPr sz="900" b="0" i="0" u="none" strike="noStrike" kern="1200" baseline="0">
                    <a:solidFill>
                      <a:schemeClr val="tx1">
                        <a:lumMod val="75000"/>
                        <a:lumOff val="25000"/>
                      </a:schemeClr>
                    </a:solidFill>
                    <a:latin typeface="+mn-lt"/>
                    <a:ea typeface="+mn-ea"/>
                    <a:cs typeface="+mn-cs"/>
                  </a:defRPr>
                </a:pPr>
                <a:endParaRPr lang="fi-F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aputauluja!$B$99:$R$99</c:f>
              <c:strCache>
                <c:ptCount val="17"/>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 TA2015</c:v>
                </c:pt>
                <c:pt idx="14">
                  <c:v>TAE2016</c:v>
                </c:pt>
                <c:pt idx="15">
                  <c:v>TTS2017</c:v>
                </c:pt>
                <c:pt idx="16">
                  <c:v>TTS2018</c:v>
                </c:pt>
              </c:strCache>
            </c:strRef>
          </c:cat>
          <c:val>
            <c:numRef>
              <c:f>aputauluja!$B$100:$R$100</c:f>
              <c:numCache>
                <c:formatCode>#,##0.0</c:formatCode>
                <c:ptCount val="17"/>
                <c:pt idx="0">
                  <c:v>17.5</c:v>
                </c:pt>
                <c:pt idx="1">
                  <c:v>13.6</c:v>
                </c:pt>
                <c:pt idx="2">
                  <c:v>13.3</c:v>
                </c:pt>
                <c:pt idx="3">
                  <c:v>11.5</c:v>
                </c:pt>
                <c:pt idx="4">
                  <c:v>9.9</c:v>
                </c:pt>
                <c:pt idx="5">
                  <c:v>5.9</c:v>
                </c:pt>
                <c:pt idx="6">
                  <c:v>9.7000000000000011</c:v>
                </c:pt>
                <c:pt idx="7">
                  <c:v>6.4300000000000006</c:v>
                </c:pt>
                <c:pt idx="8">
                  <c:v>7.4</c:v>
                </c:pt>
                <c:pt idx="9">
                  <c:v>6.9</c:v>
                </c:pt>
                <c:pt idx="10">
                  <c:v>7</c:v>
                </c:pt>
                <c:pt idx="11">
                  <c:v>5.7</c:v>
                </c:pt>
                <c:pt idx="12">
                  <c:v>5.2</c:v>
                </c:pt>
                <c:pt idx="13" formatCode="0.0">
                  <c:v>6</c:v>
                </c:pt>
                <c:pt idx="14" formatCode="0.0">
                  <c:v>2.9</c:v>
                </c:pt>
                <c:pt idx="15" formatCode="0.0">
                  <c:v>2.9</c:v>
                </c:pt>
                <c:pt idx="16" formatCode="0.0">
                  <c:v>2.9</c:v>
                </c:pt>
              </c:numCache>
            </c:numRef>
          </c:val>
        </c:ser>
        <c:dLbls>
          <c:showLegendKey val="0"/>
          <c:showVal val="1"/>
          <c:showCatName val="0"/>
          <c:showSerName val="0"/>
          <c:showPercent val="0"/>
          <c:showBubbleSize val="0"/>
        </c:dLbls>
        <c:gapWidth val="150"/>
        <c:overlap val="100"/>
        <c:axId val="143887928"/>
        <c:axId val="143888320"/>
      </c:barChart>
      <c:catAx>
        <c:axId val="143887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43888320"/>
        <c:crosses val="autoZero"/>
        <c:auto val="1"/>
        <c:lblAlgn val="ctr"/>
        <c:lblOffset val="100"/>
        <c:noMultiLvlLbl val="0"/>
      </c:catAx>
      <c:valAx>
        <c:axId val="1438883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143887928"/>
        <c:crosses val="autoZero"/>
        <c:crossBetween val="between"/>
      </c:valAx>
      <c:spPr>
        <a:noFill/>
        <a:ln w="25400">
          <a:noFill/>
        </a:ln>
        <a:effectLst/>
      </c:spPr>
    </c:plotArea>
    <c:legend>
      <c:legendPos val="b"/>
      <c:layout>
        <c:manualLayout>
          <c:xMode val="edge"/>
          <c:yMode val="edge"/>
          <c:x val="0.12038108372991396"/>
          <c:y val="0.95042141529700264"/>
          <c:w val="0.75923783254017241"/>
          <c:h val="4.957862920073051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noFill/>
    <a:ln>
      <a:noFill/>
    </a:ln>
    <a:effectLst/>
  </c:spPr>
  <c:txPr>
    <a:bodyPr/>
    <a:lstStyle/>
    <a:p>
      <a:pPr>
        <a:defRPr/>
      </a:pPr>
      <a:endParaRPr lang="fi-FI"/>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0.78435</cdr:x>
      <cdr:y>0.27467</cdr:y>
    </cdr:from>
    <cdr:to>
      <cdr:x>0.97304</cdr:x>
      <cdr:y>0.52533</cdr:y>
    </cdr:to>
    <cdr:sp macro="" textlink="">
      <cdr:nvSpPr>
        <cdr:cNvPr id="2" name="Tekstiruutu 1"/>
        <cdr:cNvSpPr txBox="1"/>
      </cdr:nvSpPr>
      <cdr:spPr>
        <a:xfrm xmlns:a="http://schemas.openxmlformats.org/drawingml/2006/main">
          <a:off x="7280974" y="1662839"/>
          <a:ext cx="1751631" cy="151754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i-FI" sz="1100"/>
        </a:p>
        <a:p xmlns:a="http://schemas.openxmlformats.org/drawingml/2006/main">
          <a:endParaRPr lang="fi-FI" sz="1100"/>
        </a:p>
      </cdr:txBody>
    </cdr:sp>
  </cdr:relSizeAnchor>
</c:userShape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01331-32BF-446E-AD48-F3F350F8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4114</Characters>
  <Application>Microsoft Office Word</Application>
  <DocSecurity>4</DocSecurity>
  <Lines>34</Lines>
  <Paragraphs>9</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Kirkkoneuvos Häkkisen ilmoitus 1/2007 kirkolliskokoukselle</vt:lpstr>
      <vt:lpstr>Kirkkoneuvos Häkkisen ilmoitus 1/2007 kirkolliskokoukselle</vt:lpstr>
    </vt:vector>
  </TitlesOfParts>
  <Company>Kirkkohallitus</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Kirkkoneuvos Häkkisen ilmoitus 1/2007 kirkolliskokoukselle</dc:title>
  <dc:creator>Seppo Häkkinen</dc:creator>
  <cp:lastModifiedBy>Riitala Mia (Kirkkohallitus)</cp:lastModifiedBy>
  <cp:revision>2</cp:revision>
  <cp:lastPrinted>2015-11-04T18:26:00Z</cp:lastPrinted>
  <dcterms:created xsi:type="dcterms:W3CDTF">2015-11-05T12:57:00Z</dcterms:created>
  <dcterms:modified xsi:type="dcterms:W3CDTF">2015-11-05T12:57:00Z</dcterms:modified>
</cp:coreProperties>
</file>